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10052" w14:textId="1F23BE7B" w:rsidR="009F7EF4" w:rsidRPr="00296F77" w:rsidRDefault="009F7EF4" w:rsidP="009F7EF4">
      <w:pPr>
        <w:jc w:val="center"/>
        <w:rPr>
          <w:b/>
          <w:sz w:val="20"/>
          <w:szCs w:val="20"/>
          <w:u w:val="single"/>
          <w:lang w:val="es-MX"/>
        </w:rPr>
      </w:pPr>
      <w:r w:rsidRPr="00834F1A">
        <w:rPr>
          <w:b/>
          <w:sz w:val="20"/>
          <w:szCs w:val="20"/>
          <w:u w:val="single"/>
          <w:lang w:val="es-CR"/>
        </w:rPr>
        <w:t xml:space="preserve">Caso </w:t>
      </w:r>
      <w:proofErr w:type="spellStart"/>
      <w:r w:rsidR="00232A06">
        <w:rPr>
          <w:b/>
          <w:sz w:val="20"/>
          <w:szCs w:val="20"/>
          <w:u w:val="single"/>
        </w:rPr>
        <w:t>Pavez</w:t>
      </w:r>
      <w:proofErr w:type="spellEnd"/>
      <w:r w:rsidR="00232A06">
        <w:rPr>
          <w:b/>
          <w:sz w:val="20"/>
          <w:szCs w:val="20"/>
          <w:u w:val="single"/>
        </w:rPr>
        <w:t xml:space="preserve"> </w:t>
      </w:r>
      <w:proofErr w:type="spellStart"/>
      <w:r w:rsidR="00232A06">
        <w:rPr>
          <w:b/>
          <w:sz w:val="20"/>
          <w:szCs w:val="20"/>
          <w:u w:val="single"/>
        </w:rPr>
        <w:t>Pavez</w:t>
      </w:r>
      <w:proofErr w:type="spellEnd"/>
      <w:r w:rsidR="00232A06">
        <w:rPr>
          <w:b/>
          <w:sz w:val="20"/>
          <w:szCs w:val="20"/>
          <w:u w:val="single"/>
        </w:rPr>
        <w:t xml:space="preserve"> Vs. Chile</w:t>
      </w:r>
      <w:r w:rsidRPr="00296F77">
        <w:rPr>
          <w:b/>
          <w:sz w:val="20"/>
          <w:szCs w:val="20"/>
          <w:u w:val="single"/>
          <w:lang w:val="es-MX"/>
        </w:rPr>
        <w:t>: reparaciones pendientes de cumplimiento</w:t>
      </w:r>
    </w:p>
    <w:p w14:paraId="61262B45" w14:textId="77777777" w:rsidR="006E7F48" w:rsidRPr="00296F77" w:rsidRDefault="00000000"/>
    <w:p w14:paraId="1056DBF9" w14:textId="77777777" w:rsidR="00296F77" w:rsidRDefault="00296F77" w:rsidP="00296F77">
      <w:pPr>
        <w:tabs>
          <w:tab w:val="left" w:pos="709"/>
        </w:tabs>
        <w:ind w:right="99"/>
        <w:jc w:val="both"/>
      </w:pPr>
    </w:p>
    <w:p w14:paraId="6F419421" w14:textId="00ACE08F" w:rsidR="00306821" w:rsidRPr="00306821" w:rsidRDefault="00232A06" w:rsidP="00750BE1">
      <w:pPr>
        <w:pStyle w:val="ListParagraph"/>
        <w:numPr>
          <w:ilvl w:val="3"/>
          <w:numId w:val="7"/>
        </w:numPr>
        <w:tabs>
          <w:tab w:val="left" w:pos="720"/>
        </w:tabs>
        <w:spacing w:after="240"/>
        <w:ind w:left="0" w:right="-90" w:firstLine="0"/>
        <w:contextualSpacing w:val="0"/>
        <w:jc w:val="both"/>
        <w:rPr>
          <w:rFonts w:eastAsia="Cambria" w:cs="Times New Roman"/>
          <w:bCs/>
          <w:sz w:val="20"/>
          <w:szCs w:val="20"/>
          <w:lang w:val="es-ES"/>
        </w:rPr>
      </w:pPr>
      <w:r>
        <w:rPr>
          <w:rFonts w:eastAsia="Cambria" w:cs="Times New Roman"/>
          <w:bCs/>
          <w:sz w:val="20"/>
          <w:szCs w:val="20"/>
        </w:rPr>
        <w:t>R</w:t>
      </w:r>
      <w:r w:rsidRPr="00232A06">
        <w:rPr>
          <w:rFonts w:eastAsia="Cambria" w:cs="Times New Roman"/>
          <w:bCs/>
          <w:sz w:val="20"/>
          <w:szCs w:val="20"/>
        </w:rPr>
        <w:t>ealizar las publicaciones indicadas en el párrafo 168 de esta Sentencia</w:t>
      </w:r>
      <w:r w:rsidR="00306821" w:rsidRPr="00306821">
        <w:rPr>
          <w:rFonts w:eastAsia="Cambria" w:cs="Times New Roman"/>
          <w:bCs/>
          <w:sz w:val="20"/>
          <w:szCs w:val="20"/>
        </w:rPr>
        <w:t>.</w:t>
      </w:r>
    </w:p>
    <w:p w14:paraId="41DCAA6D" w14:textId="3D7DFE4D" w:rsidR="00750BE1" w:rsidRPr="00750BE1" w:rsidRDefault="00306821" w:rsidP="00750BE1">
      <w:pPr>
        <w:pStyle w:val="ListParagraph"/>
        <w:numPr>
          <w:ilvl w:val="3"/>
          <w:numId w:val="7"/>
        </w:numPr>
        <w:tabs>
          <w:tab w:val="left" w:pos="720"/>
        </w:tabs>
        <w:spacing w:after="240"/>
        <w:ind w:left="0" w:right="-90" w:firstLine="0"/>
        <w:contextualSpacing w:val="0"/>
        <w:jc w:val="both"/>
        <w:rPr>
          <w:rFonts w:eastAsia="Cambria" w:cs="Times New Roman"/>
          <w:bCs/>
          <w:sz w:val="20"/>
          <w:szCs w:val="20"/>
          <w:lang w:val="es-ES"/>
        </w:rPr>
      </w:pPr>
      <w:r>
        <w:rPr>
          <w:rFonts w:eastAsia="Cambria" w:cs="Times New Roman"/>
          <w:bCs/>
          <w:sz w:val="20"/>
          <w:szCs w:val="20"/>
          <w:lang w:val="es-ES"/>
        </w:rPr>
        <w:t>R</w:t>
      </w:r>
      <w:proofErr w:type="spellStart"/>
      <w:r w:rsidR="00232A06" w:rsidRPr="00232A06">
        <w:rPr>
          <w:rFonts w:eastAsia="Cambria" w:cs="Times New Roman"/>
          <w:bCs/>
          <w:sz w:val="20"/>
          <w:szCs w:val="20"/>
        </w:rPr>
        <w:t>ealizar</w:t>
      </w:r>
      <w:proofErr w:type="spellEnd"/>
      <w:r w:rsidR="00232A06" w:rsidRPr="00232A06">
        <w:rPr>
          <w:rFonts w:eastAsia="Cambria" w:cs="Times New Roman"/>
          <w:bCs/>
          <w:sz w:val="20"/>
          <w:szCs w:val="20"/>
        </w:rPr>
        <w:t xml:space="preserve"> un acto público de reconocimiento de responsabilidad internacional, en relación con los hechos de este caso, en los términos de los párrafos 172 y 173 de esta Sentencia.</w:t>
      </w:r>
    </w:p>
    <w:p w14:paraId="4982FBED" w14:textId="1E76B24B" w:rsidR="00750BE1" w:rsidRPr="00306821" w:rsidRDefault="00232A06" w:rsidP="00750BE1">
      <w:pPr>
        <w:pStyle w:val="ListParagraph"/>
        <w:numPr>
          <w:ilvl w:val="3"/>
          <w:numId w:val="7"/>
        </w:numPr>
        <w:tabs>
          <w:tab w:val="left" w:pos="720"/>
        </w:tabs>
        <w:spacing w:after="240"/>
        <w:ind w:left="0" w:right="-90" w:firstLine="0"/>
        <w:contextualSpacing w:val="0"/>
        <w:jc w:val="both"/>
        <w:rPr>
          <w:rFonts w:eastAsia="Cambria" w:cs="Times New Roman"/>
          <w:bCs/>
          <w:sz w:val="20"/>
          <w:szCs w:val="20"/>
          <w:lang w:val="es-ES"/>
        </w:rPr>
      </w:pPr>
      <w:r>
        <w:rPr>
          <w:rFonts w:eastAsia="Cambria" w:cs="Times New Roman"/>
          <w:bCs/>
          <w:sz w:val="20"/>
          <w:szCs w:val="20"/>
        </w:rPr>
        <w:t>C</w:t>
      </w:r>
      <w:r w:rsidRPr="00232A06">
        <w:rPr>
          <w:rFonts w:eastAsia="Cambria" w:cs="Times New Roman"/>
          <w:bCs/>
          <w:sz w:val="20"/>
          <w:szCs w:val="20"/>
        </w:rPr>
        <w:t>rear e implementar un plan de capacitación permanente a las personas encargadas de evaluar la idoneidad del personal docente, en los términos del párrafo 179 de la presente Sentencia</w:t>
      </w:r>
      <w:r w:rsidR="00750BE1" w:rsidRPr="00750BE1">
        <w:rPr>
          <w:rFonts w:eastAsia="Cambria" w:cs="Times New Roman"/>
          <w:bCs/>
          <w:sz w:val="20"/>
          <w:szCs w:val="20"/>
        </w:rPr>
        <w:t>.</w:t>
      </w:r>
    </w:p>
    <w:p w14:paraId="41079541" w14:textId="0D9AC3C1" w:rsidR="00306821" w:rsidRPr="00306821" w:rsidRDefault="00232A06" w:rsidP="00750BE1">
      <w:pPr>
        <w:pStyle w:val="ListParagraph"/>
        <w:numPr>
          <w:ilvl w:val="3"/>
          <w:numId w:val="7"/>
        </w:numPr>
        <w:tabs>
          <w:tab w:val="left" w:pos="720"/>
        </w:tabs>
        <w:spacing w:after="240"/>
        <w:ind w:left="0" w:right="-90" w:firstLine="0"/>
        <w:contextualSpacing w:val="0"/>
        <w:jc w:val="both"/>
        <w:rPr>
          <w:rFonts w:eastAsia="Cambria" w:cs="Times New Roman"/>
          <w:bCs/>
          <w:sz w:val="20"/>
          <w:szCs w:val="20"/>
          <w:lang w:val="es-ES"/>
        </w:rPr>
      </w:pPr>
      <w:r>
        <w:rPr>
          <w:rFonts w:eastAsia="Cambria" w:cs="Times New Roman"/>
          <w:bCs/>
          <w:sz w:val="20"/>
          <w:szCs w:val="20"/>
          <w:lang w:val="es-ES"/>
        </w:rPr>
        <w:t>A</w:t>
      </w:r>
      <w:proofErr w:type="spellStart"/>
      <w:r w:rsidRPr="00232A06">
        <w:rPr>
          <w:rFonts w:eastAsia="Cambria" w:cs="Times New Roman"/>
          <w:bCs/>
          <w:sz w:val="20"/>
          <w:szCs w:val="20"/>
        </w:rPr>
        <w:t>decuar</w:t>
      </w:r>
      <w:proofErr w:type="spellEnd"/>
      <w:r w:rsidRPr="00232A06">
        <w:rPr>
          <w:rFonts w:eastAsia="Cambria" w:cs="Times New Roman"/>
          <w:bCs/>
          <w:sz w:val="20"/>
          <w:szCs w:val="20"/>
        </w:rPr>
        <w:t xml:space="preserve"> su normativa sobre la vía recursiva, el procedimiento y la competencia judicial para la impugnación de las decisiones de los establecimientos educativos públicos en torno al nombramiento o remoción de profesoras o profesores de religión como consecuencia de la emisión o revocación de un certificado de idoneidad, en los términos de los párrafos 183 y 184 de la presente Sentencia</w:t>
      </w:r>
      <w:r w:rsidR="00306821">
        <w:rPr>
          <w:rFonts w:eastAsia="Cambria" w:cs="Times New Roman"/>
          <w:bCs/>
          <w:sz w:val="20"/>
          <w:szCs w:val="20"/>
        </w:rPr>
        <w:t>.</w:t>
      </w:r>
    </w:p>
    <w:p w14:paraId="5AF5B681" w14:textId="2516B471" w:rsidR="00306821" w:rsidRPr="00306821" w:rsidRDefault="00232A06" w:rsidP="00750BE1">
      <w:pPr>
        <w:pStyle w:val="ListParagraph"/>
        <w:numPr>
          <w:ilvl w:val="3"/>
          <w:numId w:val="7"/>
        </w:numPr>
        <w:tabs>
          <w:tab w:val="left" w:pos="720"/>
        </w:tabs>
        <w:spacing w:after="240"/>
        <w:ind w:left="0" w:right="-90" w:firstLine="0"/>
        <w:contextualSpacing w:val="0"/>
        <w:jc w:val="both"/>
        <w:rPr>
          <w:rFonts w:eastAsia="Cambria" w:cs="Times New Roman"/>
          <w:bCs/>
          <w:sz w:val="20"/>
          <w:szCs w:val="20"/>
          <w:lang w:val="es-ES"/>
        </w:rPr>
      </w:pPr>
      <w:r>
        <w:rPr>
          <w:rFonts w:eastAsia="Cambria" w:cs="Times New Roman"/>
          <w:bCs/>
          <w:sz w:val="20"/>
          <w:szCs w:val="20"/>
        </w:rPr>
        <w:t>P</w:t>
      </w:r>
      <w:r w:rsidRPr="00232A06">
        <w:rPr>
          <w:rFonts w:eastAsia="Cambria" w:cs="Times New Roman"/>
          <w:bCs/>
          <w:sz w:val="20"/>
          <w:szCs w:val="20"/>
        </w:rPr>
        <w:t>agar las cantidades fijadas en los párrafos 193</w:t>
      </w:r>
      <w:r>
        <w:rPr>
          <w:rFonts w:eastAsia="Cambria" w:cs="Times New Roman"/>
          <w:bCs/>
          <w:sz w:val="20"/>
          <w:szCs w:val="20"/>
        </w:rPr>
        <w:t xml:space="preserve"> y</w:t>
      </w:r>
      <w:r w:rsidRPr="00232A06">
        <w:rPr>
          <w:rFonts w:eastAsia="Cambria" w:cs="Times New Roman"/>
          <w:bCs/>
          <w:sz w:val="20"/>
          <w:szCs w:val="20"/>
        </w:rPr>
        <w:t xml:space="preserve"> 198 de la presente Sentencia por concepto de daño material e inmaterial</w:t>
      </w:r>
      <w:r>
        <w:rPr>
          <w:rFonts w:eastAsia="Cambria" w:cs="Times New Roman"/>
          <w:bCs/>
          <w:sz w:val="20"/>
          <w:szCs w:val="20"/>
        </w:rPr>
        <w:t xml:space="preserve"> </w:t>
      </w:r>
      <w:r w:rsidRPr="00232A06">
        <w:rPr>
          <w:rFonts w:eastAsia="Cambria" w:cs="Times New Roman"/>
          <w:bCs/>
          <w:sz w:val="20"/>
          <w:szCs w:val="20"/>
        </w:rPr>
        <w:t>en los términos de los párrafos 203 a 208 de la misma</w:t>
      </w:r>
      <w:r w:rsidR="00306821" w:rsidRPr="00306821">
        <w:rPr>
          <w:rFonts w:eastAsia="Cambria" w:cs="Times New Roman"/>
          <w:bCs/>
          <w:sz w:val="20"/>
          <w:szCs w:val="20"/>
        </w:rPr>
        <w:t>.</w:t>
      </w:r>
    </w:p>
    <w:p w14:paraId="1F674F2D" w14:textId="4BDA9621" w:rsidR="00306821" w:rsidRPr="00306821" w:rsidRDefault="00232A06" w:rsidP="00750BE1">
      <w:pPr>
        <w:pStyle w:val="ListParagraph"/>
        <w:numPr>
          <w:ilvl w:val="3"/>
          <w:numId w:val="7"/>
        </w:numPr>
        <w:tabs>
          <w:tab w:val="left" w:pos="720"/>
        </w:tabs>
        <w:spacing w:after="240"/>
        <w:ind w:left="0" w:right="-90" w:firstLine="0"/>
        <w:contextualSpacing w:val="0"/>
        <w:jc w:val="both"/>
        <w:rPr>
          <w:rFonts w:eastAsia="Cambria" w:cs="Times New Roman"/>
          <w:bCs/>
          <w:sz w:val="20"/>
          <w:szCs w:val="20"/>
          <w:lang w:val="es-ES"/>
        </w:rPr>
      </w:pPr>
      <w:r>
        <w:rPr>
          <w:rFonts w:eastAsia="Cambria" w:cs="Times New Roman"/>
          <w:bCs/>
          <w:sz w:val="20"/>
          <w:szCs w:val="20"/>
        </w:rPr>
        <w:t>P</w:t>
      </w:r>
      <w:r w:rsidRPr="00232A06">
        <w:rPr>
          <w:rFonts w:eastAsia="Cambria" w:cs="Times New Roman"/>
          <w:bCs/>
          <w:sz w:val="20"/>
          <w:szCs w:val="20"/>
        </w:rPr>
        <w:t xml:space="preserve">agar las cantidades fijadas en </w:t>
      </w:r>
      <w:r>
        <w:rPr>
          <w:rFonts w:eastAsia="Cambria" w:cs="Times New Roman"/>
          <w:bCs/>
          <w:sz w:val="20"/>
          <w:szCs w:val="20"/>
        </w:rPr>
        <w:t>el</w:t>
      </w:r>
      <w:r w:rsidRPr="00232A06">
        <w:rPr>
          <w:rFonts w:eastAsia="Cambria" w:cs="Times New Roman"/>
          <w:bCs/>
          <w:sz w:val="20"/>
          <w:szCs w:val="20"/>
        </w:rPr>
        <w:t xml:space="preserve"> párrafo 202 de la presente Sentencia por concepto de reintegro de costas y gastos, en los términos de los párrafos 203 a 208 de la misma</w:t>
      </w:r>
      <w:r w:rsidR="00306821" w:rsidRPr="00306821">
        <w:rPr>
          <w:rFonts w:eastAsia="Cambria" w:cs="Times New Roman"/>
          <w:bCs/>
          <w:sz w:val="20"/>
          <w:szCs w:val="20"/>
        </w:rPr>
        <w:t>.</w:t>
      </w:r>
    </w:p>
    <w:p w14:paraId="3C50B1CF" w14:textId="4393C55A" w:rsidR="00750BE1" w:rsidRPr="00232A06" w:rsidRDefault="00232A06" w:rsidP="00750BE1">
      <w:pPr>
        <w:pStyle w:val="ListParagraph"/>
        <w:numPr>
          <w:ilvl w:val="3"/>
          <w:numId w:val="7"/>
        </w:numPr>
        <w:tabs>
          <w:tab w:val="left" w:pos="720"/>
        </w:tabs>
        <w:spacing w:after="240"/>
        <w:ind w:left="0" w:right="-90" w:firstLine="0"/>
        <w:contextualSpacing w:val="0"/>
        <w:jc w:val="both"/>
        <w:rPr>
          <w:rFonts w:eastAsia="Cambria" w:cs="Times New Roman"/>
          <w:bCs/>
          <w:sz w:val="20"/>
          <w:szCs w:val="20"/>
          <w:lang w:val="es-ES"/>
        </w:rPr>
      </w:pPr>
      <w:r>
        <w:rPr>
          <w:rFonts w:eastAsia="Cambria" w:cs="Times New Roman"/>
          <w:bCs/>
          <w:sz w:val="20"/>
          <w:szCs w:val="20"/>
        </w:rPr>
        <w:t>P</w:t>
      </w:r>
      <w:r w:rsidRPr="00232A06">
        <w:rPr>
          <w:rFonts w:eastAsia="Cambria" w:cs="Times New Roman"/>
          <w:bCs/>
          <w:sz w:val="20"/>
          <w:szCs w:val="20"/>
        </w:rPr>
        <w:t>agar la suma destinada para brindar tratamiento psicológico y/o psiquiátrico a la víctima, en los términos de los párrafos 175 y 198 de la presente Sentencia</w:t>
      </w:r>
      <w:r w:rsidR="00306821" w:rsidRPr="00306821">
        <w:rPr>
          <w:rFonts w:eastAsia="Cambria" w:cs="Times New Roman"/>
          <w:bCs/>
          <w:sz w:val="20"/>
          <w:szCs w:val="20"/>
        </w:rPr>
        <w:t>.</w:t>
      </w:r>
    </w:p>
    <w:p w14:paraId="7EC21CD3" w14:textId="77777777" w:rsidR="002E376C" w:rsidRPr="002E376C" w:rsidRDefault="002E376C" w:rsidP="002E376C">
      <w:pPr>
        <w:pStyle w:val="ListParagraph"/>
        <w:tabs>
          <w:tab w:val="left" w:pos="720"/>
        </w:tabs>
        <w:ind w:left="0" w:right="-90"/>
        <w:contextualSpacing w:val="0"/>
        <w:rPr>
          <w:rFonts w:eastAsia="Cambria" w:cs="Times New Roman"/>
          <w:bCs/>
          <w:sz w:val="20"/>
          <w:szCs w:val="20"/>
          <w:lang w:val="es-ES"/>
        </w:rPr>
      </w:pPr>
    </w:p>
    <w:p w14:paraId="77D8C78E" w14:textId="77777777" w:rsidR="00D3440D" w:rsidRPr="00CF7246" w:rsidRDefault="00D3440D" w:rsidP="00CB5BB1">
      <w:pPr>
        <w:pStyle w:val="ListParagraph"/>
        <w:tabs>
          <w:tab w:val="left" w:pos="720"/>
        </w:tabs>
        <w:ind w:left="0" w:right="-90"/>
        <w:contextualSpacing w:val="0"/>
        <w:jc w:val="both"/>
        <w:rPr>
          <w:rFonts w:eastAsia="Cambria" w:cs="Times New Roman"/>
          <w:bCs/>
          <w:sz w:val="20"/>
          <w:szCs w:val="20"/>
          <w:lang w:val="es-ES"/>
        </w:rPr>
      </w:pPr>
    </w:p>
    <w:sectPr w:rsidR="00D3440D" w:rsidRPr="00CF724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A5A54" w14:textId="77777777" w:rsidR="007C583B" w:rsidRDefault="007C583B" w:rsidP="009F7EF4">
      <w:r>
        <w:separator/>
      </w:r>
    </w:p>
  </w:endnote>
  <w:endnote w:type="continuationSeparator" w:id="0">
    <w:p w14:paraId="0504671B" w14:textId="77777777" w:rsidR="007C583B" w:rsidRDefault="007C583B"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08C3" w14:textId="77777777" w:rsidR="009F7EF4" w:rsidRDefault="009F7EF4" w:rsidP="009F7EF4">
    <w:pPr>
      <w:pStyle w:val="Footer"/>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26BDE002" w14:textId="77777777" w:rsidR="009F7EF4" w:rsidRDefault="009F7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4BF83" w14:textId="77777777" w:rsidR="007C583B" w:rsidRDefault="007C583B" w:rsidP="009F7EF4">
      <w:r>
        <w:separator/>
      </w:r>
    </w:p>
  </w:footnote>
  <w:footnote w:type="continuationSeparator" w:id="0">
    <w:p w14:paraId="38A54CAB" w14:textId="77777777" w:rsidR="007C583B" w:rsidRDefault="007C583B"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897709"/>
      <w:docPartObj>
        <w:docPartGallery w:val="Page Numbers (Top of Page)"/>
        <w:docPartUnique/>
      </w:docPartObj>
    </w:sdtPr>
    <w:sdtEndPr>
      <w:rPr>
        <w:noProof/>
        <w:sz w:val="20"/>
        <w:szCs w:val="20"/>
      </w:rPr>
    </w:sdtEndPr>
    <w:sdtContent>
      <w:p w14:paraId="43B9D77D" w14:textId="77777777" w:rsidR="001426AA" w:rsidRPr="00675FE7" w:rsidRDefault="001426AA" w:rsidP="001426AA">
        <w:pPr>
          <w:pStyle w:val="Header"/>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306821">
          <w:rPr>
            <w:noProof/>
            <w:sz w:val="20"/>
            <w:szCs w:val="20"/>
          </w:rPr>
          <w:t>1</w:t>
        </w:r>
        <w:r w:rsidRPr="00675FE7">
          <w:rPr>
            <w:noProof/>
            <w:sz w:val="20"/>
            <w:szCs w:val="20"/>
          </w:rPr>
          <w:fldChar w:fldCharType="end"/>
        </w:r>
      </w:p>
    </w:sdtContent>
  </w:sdt>
  <w:p w14:paraId="4B8CA589" w14:textId="77777777" w:rsidR="001426AA" w:rsidRDefault="001426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5"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6"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5912066">
    <w:abstractNumId w:val="6"/>
  </w:num>
  <w:num w:numId="2" w16cid:durableId="319429600">
    <w:abstractNumId w:val="2"/>
  </w:num>
  <w:num w:numId="3" w16cid:durableId="987635216">
    <w:abstractNumId w:val="5"/>
  </w:num>
  <w:num w:numId="4" w16cid:durableId="957949189">
    <w:abstractNumId w:val="0"/>
  </w:num>
  <w:num w:numId="5" w16cid:durableId="1208755871">
    <w:abstractNumId w:val="1"/>
  </w:num>
  <w:num w:numId="6" w16cid:durableId="1147629451">
    <w:abstractNumId w:val="3"/>
  </w:num>
  <w:num w:numId="7" w16cid:durableId="5595573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EF4"/>
    <w:rsid w:val="00010C8B"/>
    <w:rsid w:val="000930F6"/>
    <w:rsid w:val="00101CC6"/>
    <w:rsid w:val="001426AA"/>
    <w:rsid w:val="00232A06"/>
    <w:rsid w:val="00296F77"/>
    <w:rsid w:val="002B3295"/>
    <w:rsid w:val="002E376C"/>
    <w:rsid w:val="00306821"/>
    <w:rsid w:val="003A5A68"/>
    <w:rsid w:val="003A7E5E"/>
    <w:rsid w:val="003C561A"/>
    <w:rsid w:val="004458A1"/>
    <w:rsid w:val="00474D04"/>
    <w:rsid w:val="00476F6E"/>
    <w:rsid w:val="005A203D"/>
    <w:rsid w:val="005D1A85"/>
    <w:rsid w:val="00617B3E"/>
    <w:rsid w:val="006A777A"/>
    <w:rsid w:val="006C38A6"/>
    <w:rsid w:val="00750BE1"/>
    <w:rsid w:val="00792165"/>
    <w:rsid w:val="007C583B"/>
    <w:rsid w:val="00834F1A"/>
    <w:rsid w:val="008C0B61"/>
    <w:rsid w:val="008C1FD0"/>
    <w:rsid w:val="008C63A9"/>
    <w:rsid w:val="00926FFB"/>
    <w:rsid w:val="009832C0"/>
    <w:rsid w:val="009D22BE"/>
    <w:rsid w:val="009F7EF4"/>
    <w:rsid w:val="00AB2467"/>
    <w:rsid w:val="00AE0035"/>
    <w:rsid w:val="00B11B9B"/>
    <w:rsid w:val="00B32A37"/>
    <w:rsid w:val="00B33305"/>
    <w:rsid w:val="00B37AB9"/>
    <w:rsid w:val="00B6418D"/>
    <w:rsid w:val="00BA6BA9"/>
    <w:rsid w:val="00BC5824"/>
    <w:rsid w:val="00C4747D"/>
    <w:rsid w:val="00C807CF"/>
    <w:rsid w:val="00CB5BB1"/>
    <w:rsid w:val="00CF7246"/>
    <w:rsid w:val="00D3440D"/>
    <w:rsid w:val="00E210BA"/>
    <w:rsid w:val="00E217FA"/>
    <w:rsid w:val="00E42392"/>
    <w:rsid w:val="00E85D9E"/>
    <w:rsid w:val="00F135BC"/>
    <w:rsid w:val="00F50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E7963"/>
  <w15:docId w15:val="{046AEE5E-9069-49D0-9293-B7DF89D8B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EF4"/>
    <w:pPr>
      <w:spacing w:after="0" w:line="240" w:lineRule="auto"/>
    </w:pPr>
    <w:rPr>
      <w:rFonts w:ascii="Verdana" w:eastAsia="Batang" w:hAnsi="Verdana" w:cs="Times"/>
      <w:sz w:val="16"/>
      <w:szCs w:val="24"/>
      <w:lang w:val="es-ES_tradn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7EF4"/>
    <w:pPr>
      <w:tabs>
        <w:tab w:val="center" w:pos="4680"/>
        <w:tab w:val="right" w:pos="9360"/>
      </w:tabs>
    </w:pPr>
  </w:style>
  <w:style w:type="character" w:customStyle="1" w:styleId="HeaderChar">
    <w:name w:val="Header Char"/>
    <w:basedOn w:val="DefaultParagraphFont"/>
    <w:link w:val="Header"/>
    <w:uiPriority w:val="99"/>
    <w:rsid w:val="009F7EF4"/>
    <w:rPr>
      <w:rFonts w:ascii="Verdana" w:eastAsia="Batang" w:hAnsi="Verdana" w:cs="Times"/>
      <w:sz w:val="16"/>
      <w:szCs w:val="24"/>
      <w:lang w:val="es-ES_tradnl"/>
    </w:rPr>
  </w:style>
  <w:style w:type="paragraph" w:styleId="Footer">
    <w:name w:val="footer"/>
    <w:basedOn w:val="Normal"/>
    <w:link w:val="FooterChar"/>
    <w:uiPriority w:val="99"/>
    <w:unhideWhenUsed/>
    <w:rsid w:val="009F7EF4"/>
    <w:pPr>
      <w:tabs>
        <w:tab w:val="center" w:pos="4680"/>
        <w:tab w:val="right" w:pos="9360"/>
      </w:tabs>
    </w:pPr>
  </w:style>
  <w:style w:type="character" w:customStyle="1" w:styleId="FooterChar">
    <w:name w:val="Footer Char"/>
    <w:basedOn w:val="DefaultParagraphFont"/>
    <w:link w:val="Footer"/>
    <w:uiPriority w:val="99"/>
    <w:rsid w:val="009F7EF4"/>
    <w:rPr>
      <w:rFonts w:ascii="Verdana" w:eastAsia="Batang" w:hAnsi="Verdana" w:cs="Times"/>
      <w:sz w:val="16"/>
      <w:szCs w:val="24"/>
      <w:lang w:val="es-ES_tradnl"/>
    </w:rPr>
  </w:style>
  <w:style w:type="character" w:customStyle="1" w:styleId="apple-style-span">
    <w:name w:val="apple-style-span"/>
    <w:basedOn w:val="DefaultParagraphFont"/>
    <w:rsid w:val="009F7EF4"/>
  </w:style>
  <w:style w:type="paragraph" w:styleId="ListParagraph">
    <w:name w:val="List Paragraph"/>
    <w:aliases w:val="Footnote,List Paragraph1,Colorful List - Accent 11,Párrafo de lista1,List Paragraph2,Lista vistosa - Énfasis 11"/>
    <w:basedOn w:val="Normal"/>
    <w:link w:val="ListParagraphChar"/>
    <w:uiPriority w:val="99"/>
    <w:qFormat/>
    <w:rsid w:val="00296F77"/>
    <w:pPr>
      <w:ind w:left="720"/>
      <w:contextualSpacing/>
    </w:pPr>
  </w:style>
  <w:style w:type="character" w:customStyle="1" w:styleId="ListParagraphChar">
    <w:name w:val="List Paragraph Char"/>
    <w:aliases w:val="Footnote Char,List Paragraph1 Char,Colorful List - Accent 11 Char,Párrafo de lista1 Char,List Paragraph2 Char,Lista vistosa - Énfasis 11 Char"/>
    <w:link w:val="ListParagraph"/>
    <w:uiPriority w:val="99"/>
    <w:rsid w:val="00BC5824"/>
    <w:rPr>
      <w:rFonts w:ascii="Verdana" w:eastAsia="Batang" w:hAnsi="Verdana" w:cs="Times"/>
      <w:sz w:val="16"/>
      <w:szCs w:val="24"/>
      <w:lang w:val="es-ES_tradnl"/>
    </w:rPr>
  </w:style>
  <w:style w:type="paragraph" w:styleId="FootnoteText">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FootnoteTextChar"/>
    <w:qFormat/>
    <w:rsid w:val="00926FFB"/>
    <w:pPr>
      <w:jc w:val="both"/>
    </w:pPr>
    <w:rPr>
      <w:rFonts w:eastAsia="Times" w:cs="Times New Roman"/>
      <w:szCs w:val="20"/>
      <w:lang w:val="en-US" w:eastAsia="x-none"/>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C Char"/>
    <w:basedOn w:val="DefaultParagraphFont"/>
    <w:link w:val="FootnoteText"/>
    <w:rsid w:val="00926FFB"/>
    <w:rPr>
      <w:rFonts w:ascii="Verdana" w:eastAsia="Times" w:hAnsi="Verdana" w:cs="Times New Roman"/>
      <w:sz w:val="16"/>
      <w:szCs w:val="20"/>
      <w:lang w:eastAsia="x-none"/>
    </w:rPr>
  </w:style>
  <w:style w:type="character" w:styleId="FootnoteReferenc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217</Words>
  <Characters>1194</Characters>
  <Application>Microsoft Office Word</Application>
  <DocSecurity>0</DocSecurity>
  <Lines>9</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Adolfo Lara</cp:lastModifiedBy>
  <cp:revision>2</cp:revision>
  <cp:lastPrinted>2018-07-09T19:23:00Z</cp:lastPrinted>
  <dcterms:created xsi:type="dcterms:W3CDTF">2022-10-14T16:29:00Z</dcterms:created>
  <dcterms:modified xsi:type="dcterms:W3CDTF">2022-10-14T16:29:00Z</dcterms:modified>
</cp:coreProperties>
</file>